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50" w:rsidRPr="007179B3" w:rsidRDefault="00664450" w:rsidP="00664450">
      <w:pPr>
        <w:jc w:val="both"/>
        <w:rPr>
          <w:rFonts w:cs="Arial"/>
          <w:sz w:val="22"/>
          <w:szCs w:val="22"/>
        </w:rPr>
      </w:pPr>
      <w:bookmarkStart w:id="0" w:name="_GoBack"/>
      <w:bookmarkEnd w:id="0"/>
    </w:p>
    <w:p w:rsidR="00664450" w:rsidRPr="007179B3" w:rsidRDefault="00664450" w:rsidP="00664450">
      <w:pPr>
        <w:numPr>
          <w:ilvl w:val="0"/>
          <w:numId w:val="2"/>
        </w:numPr>
        <w:tabs>
          <w:tab w:val="left" w:pos="460"/>
        </w:tabs>
        <w:ind w:left="460" w:hanging="460"/>
        <w:jc w:val="both"/>
        <w:rPr>
          <w:rFonts w:cs="Arial"/>
          <w:sz w:val="22"/>
          <w:szCs w:val="22"/>
        </w:rPr>
      </w:pPr>
      <w:r w:rsidRPr="007179B3">
        <w:rPr>
          <w:rFonts w:cs="Arial"/>
          <w:sz w:val="22"/>
          <w:szCs w:val="22"/>
        </w:rPr>
        <w:t xml:space="preserve">The Queensland Government produces a significant amount of intellectual property (IP).  Its value can be captured directly in commercial exploitation, reflected through the protection and/or enhancement of </w:t>
      </w:r>
      <w:smartTag w:uri="urn:schemas-microsoft-com:office:smarttags" w:element="State">
        <w:smartTag w:uri="urn:schemas-microsoft-com:office:smarttags" w:element="place">
          <w:r w:rsidRPr="007179B3">
            <w:rPr>
              <w:rFonts w:cs="Arial"/>
              <w:sz w:val="22"/>
              <w:szCs w:val="22"/>
            </w:rPr>
            <w:t>Queensland</w:t>
          </w:r>
        </w:smartTag>
      </w:smartTag>
      <w:r w:rsidRPr="007179B3">
        <w:rPr>
          <w:rFonts w:cs="Arial"/>
          <w:sz w:val="22"/>
          <w:szCs w:val="22"/>
        </w:rPr>
        <w:t xml:space="preserve">’s reputation, or be used to contribute to the public good. </w:t>
      </w:r>
      <w:r w:rsidR="00164E3D">
        <w:rPr>
          <w:rFonts w:cs="Arial"/>
          <w:sz w:val="22"/>
          <w:szCs w:val="22"/>
        </w:rPr>
        <w:t xml:space="preserve"> W</w:t>
      </w:r>
      <w:r w:rsidRPr="007179B3">
        <w:rPr>
          <w:rFonts w:cs="Arial"/>
          <w:sz w:val="22"/>
          <w:szCs w:val="22"/>
        </w:rPr>
        <w:t xml:space="preserve">here </w:t>
      </w:r>
      <w:r w:rsidR="00164E3D">
        <w:rPr>
          <w:rFonts w:cs="Arial"/>
          <w:sz w:val="22"/>
          <w:szCs w:val="22"/>
        </w:rPr>
        <w:t>Government owned IP offers commercial value,</w:t>
      </w:r>
      <w:r w:rsidRPr="007179B3">
        <w:rPr>
          <w:rFonts w:cs="Arial"/>
          <w:sz w:val="22"/>
          <w:szCs w:val="22"/>
        </w:rPr>
        <w:t xml:space="preserve"> it is critical to manage and protect. </w:t>
      </w:r>
    </w:p>
    <w:p w:rsidR="00664450" w:rsidRPr="007179B3" w:rsidRDefault="00664450" w:rsidP="00664450">
      <w:pPr>
        <w:tabs>
          <w:tab w:val="left" w:pos="460"/>
        </w:tabs>
        <w:ind w:left="460" w:hanging="460"/>
        <w:jc w:val="both"/>
        <w:rPr>
          <w:rFonts w:cs="Arial"/>
          <w:sz w:val="22"/>
          <w:szCs w:val="22"/>
        </w:rPr>
      </w:pPr>
    </w:p>
    <w:p w:rsidR="00664450" w:rsidRPr="007179B3" w:rsidRDefault="00664450" w:rsidP="00664450">
      <w:pPr>
        <w:numPr>
          <w:ilvl w:val="0"/>
          <w:numId w:val="2"/>
        </w:numPr>
        <w:tabs>
          <w:tab w:val="left" w:pos="460"/>
        </w:tabs>
        <w:ind w:left="460" w:hanging="460"/>
        <w:jc w:val="both"/>
        <w:rPr>
          <w:rFonts w:cs="Arial"/>
          <w:sz w:val="22"/>
          <w:szCs w:val="22"/>
        </w:rPr>
      </w:pPr>
      <w:r w:rsidRPr="007179B3">
        <w:rPr>
          <w:rFonts w:cs="Arial"/>
          <w:sz w:val="22"/>
          <w:szCs w:val="22"/>
        </w:rPr>
        <w:t xml:space="preserve">The IP Policy Framework provides high level guidance and mechanisms to assist </w:t>
      </w:r>
      <w:smartTag w:uri="urn:schemas-microsoft-com:office:smarttags" w:element="State">
        <w:smartTag w:uri="urn:schemas-microsoft-com:office:smarttags" w:element="place">
          <w:r w:rsidRPr="007179B3">
            <w:rPr>
              <w:rFonts w:cs="Arial"/>
              <w:sz w:val="22"/>
              <w:szCs w:val="22"/>
            </w:rPr>
            <w:t>Queensland</w:t>
          </w:r>
        </w:smartTag>
      </w:smartTag>
      <w:r w:rsidRPr="007179B3">
        <w:rPr>
          <w:rFonts w:cs="Arial"/>
          <w:sz w:val="22"/>
          <w:szCs w:val="22"/>
        </w:rPr>
        <w:t xml:space="preserve"> public sector agencies to identify and manage their Crown copyright and other IP. The Framework’s elements are the Queensland Public Sector Intellectual Property Principles, the Queensland Public Sector Intellectual Property Guidelines, the ‘Rewards for Creating Commercially Valuable Intellectual Property’ Directive, and the I</w:t>
      </w:r>
      <w:r w:rsidR="000D37A2" w:rsidRPr="007179B3">
        <w:rPr>
          <w:rFonts w:cs="Arial"/>
          <w:sz w:val="22"/>
          <w:szCs w:val="22"/>
        </w:rPr>
        <w:t xml:space="preserve">ntellectual </w:t>
      </w:r>
      <w:r w:rsidRPr="007179B3">
        <w:rPr>
          <w:rFonts w:cs="Arial"/>
          <w:sz w:val="22"/>
          <w:szCs w:val="22"/>
        </w:rPr>
        <w:t>P</w:t>
      </w:r>
      <w:r w:rsidR="000D37A2" w:rsidRPr="007179B3">
        <w:rPr>
          <w:rFonts w:cs="Arial"/>
          <w:sz w:val="22"/>
          <w:szCs w:val="22"/>
        </w:rPr>
        <w:t>roperty</w:t>
      </w:r>
      <w:r w:rsidRPr="007179B3">
        <w:rPr>
          <w:rFonts w:cs="Arial"/>
          <w:sz w:val="22"/>
          <w:szCs w:val="22"/>
        </w:rPr>
        <w:t xml:space="preserve"> Register.    </w:t>
      </w:r>
    </w:p>
    <w:p w:rsidR="00664450" w:rsidRPr="007179B3" w:rsidRDefault="00664450" w:rsidP="00664450">
      <w:pPr>
        <w:tabs>
          <w:tab w:val="left" w:pos="460"/>
        </w:tabs>
        <w:ind w:left="460" w:hanging="460"/>
        <w:jc w:val="both"/>
        <w:rPr>
          <w:rFonts w:cs="Arial"/>
          <w:sz w:val="22"/>
          <w:szCs w:val="22"/>
        </w:rPr>
      </w:pPr>
    </w:p>
    <w:p w:rsidR="00664450" w:rsidRPr="007179B3" w:rsidRDefault="00664450" w:rsidP="00664450">
      <w:pPr>
        <w:numPr>
          <w:ilvl w:val="0"/>
          <w:numId w:val="2"/>
        </w:numPr>
        <w:tabs>
          <w:tab w:val="left" w:pos="460"/>
        </w:tabs>
        <w:ind w:left="460" w:hanging="460"/>
        <w:jc w:val="both"/>
        <w:rPr>
          <w:rFonts w:cs="Arial"/>
          <w:sz w:val="22"/>
          <w:szCs w:val="22"/>
        </w:rPr>
      </w:pPr>
      <w:r w:rsidRPr="007179B3">
        <w:rPr>
          <w:rFonts w:cs="Arial"/>
          <w:sz w:val="22"/>
          <w:szCs w:val="22"/>
        </w:rPr>
        <w:t>The information and IP landscape has changed markedly in recent years. The introduction of Right to Information (RTI) legislation in 2009 and the implementation of the Government Information Licensing Framework (GILF) by the Queensland Government in 2010 ha</w:t>
      </w:r>
      <w:r w:rsidR="000D37A2" w:rsidRPr="007179B3">
        <w:rPr>
          <w:rFonts w:cs="Arial"/>
          <w:sz w:val="22"/>
          <w:szCs w:val="22"/>
        </w:rPr>
        <w:t>ve</w:t>
      </w:r>
      <w:r w:rsidRPr="007179B3">
        <w:rPr>
          <w:rFonts w:cs="Arial"/>
          <w:sz w:val="22"/>
          <w:szCs w:val="22"/>
        </w:rPr>
        <w:t xml:space="preserve"> created a more open access environment for public sector information, with greater emphasis on transparency and ‘pushing’ information into the public sphere. </w:t>
      </w:r>
    </w:p>
    <w:p w:rsidR="00664450" w:rsidRPr="007179B3" w:rsidRDefault="00664450" w:rsidP="00664450">
      <w:pPr>
        <w:tabs>
          <w:tab w:val="left" w:pos="460"/>
        </w:tabs>
        <w:ind w:left="460" w:hanging="460"/>
        <w:jc w:val="both"/>
        <w:rPr>
          <w:rFonts w:cs="Arial"/>
          <w:sz w:val="22"/>
          <w:szCs w:val="22"/>
        </w:rPr>
      </w:pPr>
    </w:p>
    <w:p w:rsidR="00664450" w:rsidRPr="007179B3" w:rsidRDefault="00664450" w:rsidP="00664450">
      <w:pPr>
        <w:numPr>
          <w:ilvl w:val="0"/>
          <w:numId w:val="2"/>
        </w:numPr>
        <w:tabs>
          <w:tab w:val="left" w:pos="460"/>
        </w:tabs>
        <w:ind w:left="460" w:hanging="460"/>
        <w:jc w:val="both"/>
        <w:rPr>
          <w:rFonts w:cs="Arial"/>
          <w:sz w:val="22"/>
          <w:szCs w:val="22"/>
        </w:rPr>
      </w:pPr>
      <w:r w:rsidRPr="007179B3">
        <w:rPr>
          <w:rFonts w:cs="Arial"/>
          <w:sz w:val="22"/>
          <w:szCs w:val="22"/>
        </w:rPr>
        <w:t xml:space="preserve">It is within this context that the Framework was reviewed to ensure its ongoing effectiveness in helping agencies manage their IP and relevance in this new open access environment with the changes introduced by RTI and GILF.  </w:t>
      </w:r>
    </w:p>
    <w:p w:rsidR="00664450" w:rsidRPr="007179B3" w:rsidRDefault="00664450" w:rsidP="00164E3D">
      <w:pPr>
        <w:tabs>
          <w:tab w:val="left" w:pos="540"/>
        </w:tabs>
        <w:ind w:left="567"/>
        <w:jc w:val="both"/>
        <w:rPr>
          <w:rFonts w:cs="Arial"/>
          <w:sz w:val="22"/>
          <w:szCs w:val="22"/>
        </w:rPr>
      </w:pPr>
    </w:p>
    <w:p w:rsidR="008E5D72" w:rsidRDefault="008E5D72" w:rsidP="008E5D72">
      <w:pPr>
        <w:numPr>
          <w:ilvl w:val="0"/>
          <w:numId w:val="2"/>
        </w:numPr>
        <w:tabs>
          <w:tab w:val="left" w:pos="460"/>
        </w:tabs>
        <w:ind w:left="460" w:hanging="460"/>
        <w:jc w:val="both"/>
        <w:rPr>
          <w:rFonts w:cs="Arial"/>
          <w:sz w:val="22"/>
          <w:szCs w:val="22"/>
          <w:lang w:eastAsia="en-AU"/>
        </w:rPr>
      </w:pPr>
      <w:r w:rsidRPr="008E5D72">
        <w:rPr>
          <w:rFonts w:cs="Arial"/>
          <w:sz w:val="22"/>
          <w:szCs w:val="22"/>
        </w:rPr>
        <w:t>The</w:t>
      </w:r>
      <w:r w:rsidRPr="008E5D72">
        <w:rPr>
          <w:rFonts w:cs="Arial"/>
          <w:sz w:val="22"/>
          <w:szCs w:val="22"/>
          <w:lang w:eastAsia="en-AU"/>
        </w:rPr>
        <w:t xml:space="preserve"> changes to the Framework will improve coordination in IP management across government agencies. </w:t>
      </w:r>
    </w:p>
    <w:p w:rsidR="008E5D72" w:rsidRDefault="008E5D72" w:rsidP="008E5D72">
      <w:pPr>
        <w:pStyle w:val="ListParagraph"/>
        <w:rPr>
          <w:rFonts w:cs="Arial"/>
          <w:sz w:val="22"/>
          <w:szCs w:val="22"/>
          <w:u w:val="single"/>
        </w:rPr>
      </w:pPr>
    </w:p>
    <w:p w:rsidR="00450098" w:rsidRPr="00164E3D" w:rsidRDefault="00664450" w:rsidP="00164E3D">
      <w:pPr>
        <w:numPr>
          <w:ilvl w:val="0"/>
          <w:numId w:val="2"/>
        </w:numPr>
        <w:tabs>
          <w:tab w:val="left" w:pos="460"/>
        </w:tabs>
        <w:ind w:left="460" w:hanging="460"/>
        <w:jc w:val="both"/>
        <w:rPr>
          <w:rFonts w:cs="Arial"/>
          <w:sz w:val="22"/>
          <w:szCs w:val="22"/>
        </w:rPr>
      </w:pPr>
      <w:r w:rsidRPr="00164E3D">
        <w:rPr>
          <w:rFonts w:cs="Arial"/>
          <w:sz w:val="22"/>
          <w:szCs w:val="22"/>
          <w:u w:val="single"/>
        </w:rPr>
        <w:t>Cabinet a</w:t>
      </w:r>
      <w:r w:rsidRPr="008E5D72">
        <w:rPr>
          <w:rFonts w:cs="Arial"/>
          <w:sz w:val="22"/>
          <w:szCs w:val="22"/>
          <w:u w:val="single"/>
        </w:rPr>
        <w:t>pproved</w:t>
      </w:r>
      <w:r w:rsidRPr="008E5D72">
        <w:rPr>
          <w:rFonts w:cs="Arial"/>
          <w:sz w:val="22"/>
          <w:szCs w:val="22"/>
        </w:rPr>
        <w:t xml:space="preserve"> changes to the Queensland Government Intellectual Property Policy Framework</w:t>
      </w:r>
      <w:r w:rsidR="008E5D72" w:rsidRPr="008E5D72">
        <w:rPr>
          <w:rFonts w:cs="Arial"/>
          <w:sz w:val="22"/>
          <w:szCs w:val="22"/>
        </w:rPr>
        <w:t>.</w:t>
      </w:r>
      <w:r w:rsidR="008E5D72" w:rsidRPr="008E5D72" w:rsidDel="008E5D72">
        <w:rPr>
          <w:rFonts w:cs="Arial"/>
          <w:sz w:val="22"/>
          <w:szCs w:val="22"/>
        </w:rPr>
        <w:t xml:space="preserve"> </w:t>
      </w:r>
    </w:p>
    <w:p w:rsidR="00164E3D" w:rsidRPr="00164E3D" w:rsidRDefault="00164E3D" w:rsidP="00164E3D">
      <w:pPr>
        <w:tabs>
          <w:tab w:val="left" w:pos="460"/>
        </w:tabs>
        <w:ind w:left="460"/>
        <w:jc w:val="both"/>
        <w:rPr>
          <w:rFonts w:cs="Arial"/>
          <w:sz w:val="22"/>
          <w:szCs w:val="22"/>
          <w:u w:val="single"/>
          <w:lang w:eastAsia="en-AU"/>
        </w:rPr>
      </w:pPr>
    </w:p>
    <w:p w:rsidR="00664450" w:rsidRPr="008E5D72" w:rsidRDefault="00664450" w:rsidP="00D96693">
      <w:pPr>
        <w:numPr>
          <w:ilvl w:val="0"/>
          <w:numId w:val="2"/>
        </w:numPr>
        <w:tabs>
          <w:tab w:val="left" w:pos="460"/>
        </w:tabs>
        <w:spacing w:before="120"/>
        <w:ind w:left="460" w:hanging="460"/>
        <w:jc w:val="both"/>
        <w:rPr>
          <w:rFonts w:cs="Arial"/>
          <w:sz w:val="22"/>
          <w:szCs w:val="22"/>
          <w:u w:val="single"/>
          <w:lang w:eastAsia="en-AU"/>
        </w:rPr>
      </w:pPr>
      <w:r w:rsidRPr="008E5D72">
        <w:rPr>
          <w:rFonts w:cs="Arial"/>
          <w:i/>
          <w:sz w:val="22"/>
          <w:szCs w:val="22"/>
          <w:u w:val="single"/>
          <w:lang w:eastAsia="en-AU"/>
        </w:rPr>
        <w:t>Attachments</w:t>
      </w:r>
      <w:r w:rsidRPr="008E5D72">
        <w:rPr>
          <w:rFonts w:cs="Arial"/>
          <w:sz w:val="22"/>
          <w:szCs w:val="22"/>
          <w:u w:val="single"/>
          <w:lang w:eastAsia="en-AU"/>
        </w:rPr>
        <w:t>:</w:t>
      </w:r>
    </w:p>
    <w:p w:rsidR="00D40904" w:rsidRPr="007179B3" w:rsidRDefault="00C0113F" w:rsidP="00D96693">
      <w:pPr>
        <w:numPr>
          <w:ilvl w:val="0"/>
          <w:numId w:val="1"/>
        </w:numPr>
        <w:tabs>
          <w:tab w:val="clear" w:pos="360"/>
          <w:tab w:val="left" w:pos="1134"/>
        </w:tabs>
        <w:spacing w:before="120"/>
        <w:ind w:left="1134" w:hanging="594"/>
        <w:jc w:val="both"/>
        <w:rPr>
          <w:rFonts w:cs="Arial"/>
          <w:sz w:val="22"/>
          <w:szCs w:val="22"/>
        </w:rPr>
      </w:pPr>
      <w:hyperlink r:id="rId7" w:history="1">
        <w:r w:rsidR="00664450" w:rsidRPr="00D96693">
          <w:rPr>
            <w:rStyle w:val="Hyperlink"/>
            <w:rFonts w:cs="Arial"/>
            <w:sz w:val="22"/>
            <w:szCs w:val="22"/>
            <w:lang w:eastAsia="en-AU"/>
          </w:rPr>
          <w:t>Queensland Public Sector Intellectual Property Principles</w:t>
        </w:r>
        <w:r w:rsidR="006C2753" w:rsidRPr="00D96693">
          <w:rPr>
            <w:rStyle w:val="Hyperlink"/>
            <w:rFonts w:cs="Arial"/>
            <w:sz w:val="22"/>
            <w:szCs w:val="22"/>
            <w:lang w:eastAsia="en-AU"/>
          </w:rPr>
          <w:t xml:space="preserve"> (incorpora</w:t>
        </w:r>
        <w:r w:rsidR="006C2753" w:rsidRPr="00D96693">
          <w:rPr>
            <w:rStyle w:val="Hyperlink"/>
            <w:rFonts w:cs="Arial"/>
            <w:sz w:val="22"/>
            <w:szCs w:val="22"/>
          </w:rPr>
          <w:t xml:space="preserve">ting </w:t>
        </w:r>
        <w:r w:rsidR="00B87C5B" w:rsidRPr="00D96693">
          <w:rPr>
            <w:rStyle w:val="Hyperlink"/>
            <w:rFonts w:cs="Arial"/>
            <w:sz w:val="22"/>
            <w:szCs w:val="22"/>
          </w:rPr>
          <w:t>IP</w:t>
        </w:r>
        <w:r w:rsidR="00664450" w:rsidRPr="00D96693">
          <w:rPr>
            <w:rStyle w:val="Hyperlink"/>
            <w:rFonts w:cs="Arial"/>
            <w:sz w:val="22"/>
            <w:szCs w:val="22"/>
          </w:rPr>
          <w:t xml:space="preserve"> </w:t>
        </w:r>
        <w:r w:rsidR="006C2753" w:rsidRPr="00D96693">
          <w:rPr>
            <w:rStyle w:val="Hyperlink"/>
            <w:rFonts w:cs="Arial"/>
            <w:sz w:val="22"/>
            <w:szCs w:val="22"/>
          </w:rPr>
          <w:t>a</w:t>
        </w:r>
        <w:r w:rsidR="00664450" w:rsidRPr="00D96693">
          <w:rPr>
            <w:rStyle w:val="Hyperlink"/>
            <w:rFonts w:cs="Arial"/>
            <w:sz w:val="22"/>
            <w:szCs w:val="22"/>
          </w:rPr>
          <w:t xml:space="preserve">ssessment </w:t>
        </w:r>
        <w:r w:rsidR="006C2753" w:rsidRPr="00D96693">
          <w:rPr>
            <w:rStyle w:val="Hyperlink"/>
            <w:rFonts w:cs="Arial"/>
            <w:sz w:val="22"/>
            <w:szCs w:val="22"/>
          </w:rPr>
          <w:t>g</w:t>
        </w:r>
        <w:r w:rsidR="00664450" w:rsidRPr="00D96693">
          <w:rPr>
            <w:rStyle w:val="Hyperlink"/>
            <w:rFonts w:cs="Arial"/>
            <w:sz w:val="22"/>
            <w:szCs w:val="22"/>
          </w:rPr>
          <w:t>uide</w:t>
        </w:r>
        <w:r w:rsidR="00B87C5B" w:rsidRPr="00D96693">
          <w:rPr>
            <w:rStyle w:val="Hyperlink"/>
            <w:rFonts w:cs="Arial"/>
            <w:sz w:val="22"/>
            <w:szCs w:val="22"/>
          </w:rPr>
          <w:t>)</w:t>
        </w:r>
      </w:hyperlink>
    </w:p>
    <w:sectPr w:rsidR="00D40904" w:rsidRPr="007179B3" w:rsidSect="008E5D72">
      <w:headerReference w:type="default" r:id="rId8"/>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69" w:rsidRDefault="007D2269">
      <w:r>
        <w:separator/>
      </w:r>
    </w:p>
  </w:endnote>
  <w:endnote w:type="continuationSeparator" w:id="0">
    <w:p w:rsidR="007D2269" w:rsidRDefault="007D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69" w:rsidRDefault="007D2269">
      <w:r>
        <w:separator/>
      </w:r>
    </w:p>
  </w:footnote>
  <w:footnote w:type="continuationSeparator" w:id="0">
    <w:p w:rsidR="007D2269" w:rsidRDefault="007D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B3" w:rsidRPr="008E5D72" w:rsidRDefault="00552724" w:rsidP="00631817">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179B3" w:rsidRPr="008E5D72">
      <w:rPr>
        <w:rFonts w:cs="Arial"/>
        <w:b/>
        <w:sz w:val="22"/>
        <w:szCs w:val="22"/>
        <w:u w:val="single"/>
      </w:rPr>
      <w:t>Cabinet – July 2011</w:t>
    </w:r>
  </w:p>
  <w:p w:rsidR="007179B3" w:rsidRPr="008E5D72" w:rsidRDefault="007179B3" w:rsidP="00631817">
    <w:pPr>
      <w:pStyle w:val="Header"/>
      <w:rPr>
        <w:rFonts w:cs="Arial"/>
        <w:b/>
        <w:sz w:val="22"/>
        <w:szCs w:val="22"/>
        <w:u w:val="single"/>
      </w:rPr>
    </w:pPr>
  </w:p>
  <w:p w:rsidR="007179B3" w:rsidRPr="008E5D72" w:rsidRDefault="007179B3" w:rsidP="00631817">
    <w:pPr>
      <w:pStyle w:val="Header"/>
      <w:rPr>
        <w:rFonts w:cs="Arial"/>
        <w:b/>
        <w:sz w:val="22"/>
        <w:szCs w:val="22"/>
        <w:u w:val="single"/>
      </w:rPr>
    </w:pPr>
    <w:r w:rsidRPr="008E5D72">
      <w:rPr>
        <w:rFonts w:cs="Arial"/>
        <w:b/>
        <w:sz w:val="22"/>
        <w:szCs w:val="22"/>
        <w:u w:val="single"/>
      </w:rPr>
      <w:t xml:space="preserve">Review of the </w:t>
    </w:r>
    <w:smartTag w:uri="urn:schemas-microsoft-com:office:smarttags" w:element="place">
      <w:smartTag w:uri="urn:schemas-microsoft-com:office:smarttags" w:element="State">
        <w:r w:rsidRPr="008E5D72">
          <w:rPr>
            <w:rFonts w:cs="Arial"/>
            <w:b/>
            <w:sz w:val="22"/>
            <w:szCs w:val="22"/>
            <w:u w:val="single"/>
          </w:rPr>
          <w:t>Queensland</w:t>
        </w:r>
      </w:smartTag>
    </w:smartTag>
    <w:r w:rsidRPr="008E5D72">
      <w:rPr>
        <w:rFonts w:cs="Arial"/>
        <w:b/>
        <w:sz w:val="22"/>
        <w:szCs w:val="22"/>
        <w:u w:val="single"/>
      </w:rPr>
      <w:t xml:space="preserve"> Government Intellectual Property Policy Framework</w:t>
    </w:r>
  </w:p>
  <w:p w:rsidR="007179B3" w:rsidRPr="008E5D72" w:rsidRDefault="007179B3" w:rsidP="00631817">
    <w:pPr>
      <w:pStyle w:val="Header"/>
      <w:rPr>
        <w:rFonts w:cs="Arial"/>
        <w:b/>
        <w:sz w:val="22"/>
        <w:szCs w:val="22"/>
        <w:u w:val="single"/>
      </w:rPr>
    </w:pPr>
  </w:p>
  <w:p w:rsidR="007179B3" w:rsidRPr="008E5D72" w:rsidRDefault="007179B3" w:rsidP="00631817">
    <w:pPr>
      <w:pStyle w:val="Header"/>
      <w:rPr>
        <w:rFonts w:cs="Arial"/>
        <w:b/>
        <w:sz w:val="22"/>
        <w:szCs w:val="22"/>
        <w:u w:val="single"/>
      </w:rPr>
    </w:pPr>
    <w:r w:rsidRPr="008E5D72">
      <w:rPr>
        <w:rFonts w:cs="Arial"/>
        <w:b/>
        <w:sz w:val="22"/>
        <w:szCs w:val="22"/>
        <w:u w:val="single"/>
      </w:rPr>
      <w:t>Treasurer and Minister for State Development and Trade</w:t>
    </w:r>
  </w:p>
  <w:p w:rsidR="007179B3" w:rsidRPr="008E5D72" w:rsidRDefault="007179B3" w:rsidP="00631817">
    <w:pPr>
      <w:pStyle w:val="Header"/>
      <w:pBdr>
        <w:bottom w:val="single" w:sz="8" w:space="1" w:color="auto"/>
      </w:pBdr>
      <w:spacing w:line="180" w:lineRule="exact"/>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66A3"/>
    <w:multiLevelType w:val="hybridMultilevel"/>
    <w:tmpl w:val="5EEE380C"/>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961EA0BC">
      <w:numFmt w:val="bullet"/>
      <w:lvlText w:val=""/>
      <w:lvlJc w:val="left"/>
      <w:pPr>
        <w:tabs>
          <w:tab w:val="num" w:pos="1980"/>
        </w:tabs>
        <w:ind w:left="1980" w:hanging="360"/>
      </w:pPr>
      <w:rPr>
        <w:rFonts w:ascii="Symbol" w:eastAsia="Times New Roman" w:hAnsi="Symbol" w:cs="Times New Roman" w:hint="default"/>
        <w:sz w:val="23"/>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FE23D56"/>
    <w:multiLevelType w:val="hybridMultilevel"/>
    <w:tmpl w:val="7A1864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FD167C"/>
    <w:multiLevelType w:val="hybridMultilevel"/>
    <w:tmpl w:val="85FEFAF0"/>
    <w:lvl w:ilvl="0" w:tplc="2A3450E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0"/>
    <w:rsid w:val="00004AB6"/>
    <w:rsid w:val="000461A8"/>
    <w:rsid w:val="000C0696"/>
    <w:rsid w:val="000D37A2"/>
    <w:rsid w:val="0014620E"/>
    <w:rsid w:val="00164E3D"/>
    <w:rsid w:val="00177FCE"/>
    <w:rsid w:val="001D282C"/>
    <w:rsid w:val="00363260"/>
    <w:rsid w:val="003B14C4"/>
    <w:rsid w:val="003F5237"/>
    <w:rsid w:val="00450098"/>
    <w:rsid w:val="004807C1"/>
    <w:rsid w:val="004B6186"/>
    <w:rsid w:val="004C645B"/>
    <w:rsid w:val="00552724"/>
    <w:rsid w:val="00631817"/>
    <w:rsid w:val="00664450"/>
    <w:rsid w:val="0066489A"/>
    <w:rsid w:val="006B24E5"/>
    <w:rsid w:val="006C2753"/>
    <w:rsid w:val="006E7382"/>
    <w:rsid w:val="00703FDE"/>
    <w:rsid w:val="0071128B"/>
    <w:rsid w:val="007179B3"/>
    <w:rsid w:val="007C307E"/>
    <w:rsid w:val="007C3A17"/>
    <w:rsid w:val="007D2269"/>
    <w:rsid w:val="00833518"/>
    <w:rsid w:val="00842DB4"/>
    <w:rsid w:val="00853B4A"/>
    <w:rsid w:val="008B1018"/>
    <w:rsid w:val="008E5D72"/>
    <w:rsid w:val="008F6A6B"/>
    <w:rsid w:val="009357E6"/>
    <w:rsid w:val="0098035E"/>
    <w:rsid w:val="00A12C40"/>
    <w:rsid w:val="00A619FF"/>
    <w:rsid w:val="00AC02A4"/>
    <w:rsid w:val="00AC558D"/>
    <w:rsid w:val="00B03D80"/>
    <w:rsid w:val="00B34F72"/>
    <w:rsid w:val="00B52031"/>
    <w:rsid w:val="00B87C5B"/>
    <w:rsid w:val="00BE09D4"/>
    <w:rsid w:val="00C0113F"/>
    <w:rsid w:val="00C90EED"/>
    <w:rsid w:val="00D238CB"/>
    <w:rsid w:val="00D40904"/>
    <w:rsid w:val="00D96693"/>
    <w:rsid w:val="00E12FED"/>
    <w:rsid w:val="00E21B27"/>
    <w:rsid w:val="00E550B7"/>
    <w:rsid w:val="00F14C36"/>
    <w:rsid w:val="00F96C5C"/>
    <w:rsid w:val="00FC0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50"/>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450"/>
    <w:pPr>
      <w:tabs>
        <w:tab w:val="center" w:pos="4320"/>
        <w:tab w:val="right" w:pos="8640"/>
      </w:tabs>
    </w:pPr>
  </w:style>
  <w:style w:type="character" w:customStyle="1" w:styleId="HeaderChar">
    <w:name w:val="Header Char"/>
    <w:basedOn w:val="DefaultParagraphFont"/>
    <w:link w:val="Header"/>
    <w:semiHidden/>
    <w:rsid w:val="00664450"/>
    <w:rPr>
      <w:rFonts w:ascii="Arial" w:hAnsi="Arial"/>
      <w:sz w:val="24"/>
      <w:szCs w:val="24"/>
      <w:lang w:val="en-AU" w:eastAsia="en-US" w:bidi="ar-SA"/>
    </w:rPr>
  </w:style>
  <w:style w:type="paragraph" w:styleId="Footer">
    <w:name w:val="footer"/>
    <w:basedOn w:val="Normal"/>
    <w:rsid w:val="00664450"/>
    <w:pPr>
      <w:tabs>
        <w:tab w:val="center" w:pos="4153"/>
        <w:tab w:val="right" w:pos="8306"/>
      </w:tabs>
    </w:pPr>
  </w:style>
  <w:style w:type="paragraph" w:styleId="BalloonText">
    <w:name w:val="Balloon Text"/>
    <w:basedOn w:val="Normal"/>
    <w:semiHidden/>
    <w:rsid w:val="00A619FF"/>
    <w:rPr>
      <w:rFonts w:ascii="Tahoma" w:hAnsi="Tahoma" w:cs="Tahoma"/>
      <w:sz w:val="16"/>
      <w:szCs w:val="16"/>
    </w:rPr>
  </w:style>
  <w:style w:type="paragraph" w:styleId="ListParagraph">
    <w:name w:val="List Paragraph"/>
    <w:basedOn w:val="Normal"/>
    <w:uiPriority w:val="34"/>
    <w:qFormat/>
    <w:rsid w:val="008E5D72"/>
    <w:pPr>
      <w:ind w:left="720"/>
    </w:pPr>
  </w:style>
  <w:style w:type="character" w:styleId="Hyperlink">
    <w:name w:val="Hyperlink"/>
    <w:basedOn w:val="DefaultParagraphFont"/>
    <w:rsid w:val="00D96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IP%20Principles%20incorping%20IP%20assessment%20guid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1528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CharactersWithSpaces>
  <SharedDoc>false</SharedDoc>
  <HyperlinkBase>https://www.cabinet.qld.gov.au/documents/2011/Jul/Review of the IP Policy Framework/</HyperlinkBase>
  <HLinks>
    <vt:vector size="6" baseType="variant">
      <vt:variant>
        <vt:i4>2162785</vt:i4>
      </vt:variant>
      <vt:variant>
        <vt:i4>0</vt:i4>
      </vt:variant>
      <vt:variant>
        <vt:i4>0</vt:i4>
      </vt:variant>
      <vt:variant>
        <vt:i4>5</vt:i4>
      </vt:variant>
      <vt:variant>
        <vt:lpwstr>Attachments/IP Principles incorping IP assessment guide.doc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2011-09-07T08:17:00Z</cp:lastPrinted>
  <dcterms:created xsi:type="dcterms:W3CDTF">2017-10-24T23:06:00Z</dcterms:created>
  <dcterms:modified xsi:type="dcterms:W3CDTF">2018-03-06T01:08:00Z</dcterms:modified>
  <cp:category>Intellectual_Property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